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1BC7C" w14:textId="77777777" w:rsidR="00C64B1B" w:rsidRPr="00FA23B9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418"/>
        <w:gridCol w:w="4252"/>
        <w:gridCol w:w="3969"/>
        <w:gridCol w:w="4053"/>
      </w:tblGrid>
      <w:tr w:rsidR="00A06425" w:rsidRPr="00FA23B9" w14:paraId="5E488B50" w14:textId="77777777" w:rsidTr="00A06425">
        <w:tc>
          <w:tcPr>
            <w:tcW w:w="15388" w:type="dxa"/>
            <w:gridSpan w:val="6"/>
            <w:vAlign w:val="center"/>
          </w:tcPr>
          <w:p w14:paraId="1EE8A682" w14:textId="0EA759E8" w:rsidR="00A06425" w:rsidRPr="00FA23B9" w:rsidRDefault="00A06425" w:rsidP="00B871B6">
            <w:pPr>
              <w:spacing w:before="120" w:after="120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A23B9">
              <w:rPr>
                <w:rFonts w:asciiTheme="minorHAnsi" w:hAnsiTheme="minorHAnsi" w:cstheme="minorHAnsi"/>
                <w:i/>
                <w:sz w:val="22"/>
                <w:szCs w:val="22"/>
              </w:rPr>
              <w:t>Nazwa dokumentu:</w:t>
            </w:r>
            <w:r w:rsidR="009F17E3" w:rsidRPr="00FA23B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="00612131" w:rsidRPr="00FA23B9">
              <w:rPr>
                <w:rFonts w:asciiTheme="minorHAnsi" w:hAnsiTheme="minorHAnsi" w:cstheme="minorHAnsi"/>
                <w:iCs/>
                <w:sz w:val="22"/>
                <w:szCs w:val="22"/>
              </w:rPr>
              <w:t>„</w:t>
            </w:r>
            <w:r w:rsidR="00934419" w:rsidRPr="00FA23B9">
              <w:rPr>
                <w:rFonts w:asciiTheme="minorHAnsi" w:hAnsiTheme="minorHAnsi" w:cstheme="minorHAnsi"/>
                <w:iCs/>
                <w:sz w:val="22"/>
                <w:szCs w:val="22"/>
              </w:rPr>
              <w:t>System Automatyzacji Procesów Administracyjnych w Wydziale Nieruchomości i Skarbu Państwa</w:t>
            </w:r>
            <w:r w:rsidR="00612131" w:rsidRPr="00FA23B9">
              <w:rPr>
                <w:rFonts w:asciiTheme="minorHAnsi" w:hAnsiTheme="minorHAnsi" w:cstheme="minorHAnsi"/>
                <w:iCs/>
                <w:sz w:val="22"/>
                <w:szCs w:val="22"/>
              </w:rPr>
              <w:t>”</w:t>
            </w:r>
            <w:r w:rsidR="009F17E3" w:rsidRPr="00FA23B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="009F17E3" w:rsidRPr="00FA23B9">
              <w:rPr>
                <w:rFonts w:asciiTheme="minorHAnsi" w:hAnsiTheme="minorHAnsi" w:cstheme="minorHAnsi"/>
                <w:sz w:val="22"/>
                <w:szCs w:val="22"/>
              </w:rPr>
              <w:t>[</w:t>
            </w:r>
            <w:r w:rsidR="004F232F" w:rsidRPr="00FA23B9">
              <w:rPr>
                <w:rFonts w:asciiTheme="minorHAnsi" w:hAnsiTheme="minorHAnsi" w:cstheme="minorHAnsi"/>
                <w:sz w:val="22"/>
                <w:szCs w:val="22"/>
              </w:rPr>
              <w:t>OPIS ZAŁOŻEŃ PROJEKTU INFORMATYCZNEGO</w:t>
            </w:r>
            <w:r w:rsidR="009F17E3" w:rsidRPr="00FA23B9">
              <w:rPr>
                <w:rFonts w:asciiTheme="minorHAnsi" w:hAnsiTheme="minorHAnsi" w:cstheme="minorHAnsi"/>
                <w:sz w:val="22"/>
                <w:szCs w:val="22"/>
              </w:rPr>
              <w:t>]</w:t>
            </w:r>
          </w:p>
        </w:tc>
      </w:tr>
      <w:tr w:rsidR="00A06425" w:rsidRPr="00FA23B9" w14:paraId="529AFC74" w14:textId="77777777" w:rsidTr="00FA23B9">
        <w:tc>
          <w:tcPr>
            <w:tcW w:w="562" w:type="dxa"/>
            <w:vAlign w:val="center"/>
          </w:tcPr>
          <w:p w14:paraId="20155DD9" w14:textId="77777777" w:rsidR="00A06425" w:rsidRPr="00FA23B9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A23B9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1134" w:type="dxa"/>
            <w:vAlign w:val="center"/>
          </w:tcPr>
          <w:p w14:paraId="6EBE02E1" w14:textId="77777777" w:rsidR="00A06425" w:rsidRPr="00FA23B9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A23B9">
              <w:rPr>
                <w:rFonts w:asciiTheme="minorHAnsi" w:hAnsiTheme="minorHAnsi" w:cstheme="minorHAnsi"/>
                <w:sz w:val="22"/>
                <w:szCs w:val="22"/>
              </w:rPr>
              <w:t>Organ wnoszący uwagi</w:t>
            </w:r>
          </w:p>
        </w:tc>
        <w:tc>
          <w:tcPr>
            <w:tcW w:w="1418" w:type="dxa"/>
            <w:vAlign w:val="center"/>
          </w:tcPr>
          <w:p w14:paraId="0A8162A9" w14:textId="77777777" w:rsidR="00A06425" w:rsidRPr="00FA23B9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A23B9">
              <w:rPr>
                <w:rFonts w:asciiTheme="minorHAnsi" w:hAnsiTheme="minorHAnsi" w:cstheme="minorHAnsi"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252" w:type="dxa"/>
            <w:vAlign w:val="center"/>
          </w:tcPr>
          <w:p w14:paraId="20B296AF" w14:textId="77777777" w:rsidR="00A06425" w:rsidRPr="00FA23B9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A23B9">
              <w:rPr>
                <w:rFonts w:asciiTheme="minorHAnsi" w:hAnsiTheme="minorHAnsi" w:cstheme="minorHAnsi"/>
                <w:sz w:val="22"/>
                <w:szCs w:val="22"/>
              </w:rPr>
              <w:t>Treść uwagi</w:t>
            </w:r>
          </w:p>
        </w:tc>
        <w:tc>
          <w:tcPr>
            <w:tcW w:w="3969" w:type="dxa"/>
            <w:vAlign w:val="center"/>
          </w:tcPr>
          <w:p w14:paraId="7E4B6E45" w14:textId="77777777" w:rsidR="00A06425" w:rsidRPr="00FA23B9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A23B9">
              <w:rPr>
                <w:rFonts w:asciiTheme="minorHAnsi" w:hAnsiTheme="minorHAnsi" w:cstheme="minorHAnsi"/>
                <w:sz w:val="22"/>
                <w:szCs w:val="22"/>
              </w:rPr>
              <w:t>Propozycja zmian zapisu</w:t>
            </w:r>
          </w:p>
        </w:tc>
        <w:tc>
          <w:tcPr>
            <w:tcW w:w="4053" w:type="dxa"/>
            <w:vAlign w:val="center"/>
          </w:tcPr>
          <w:p w14:paraId="2ED23DD6" w14:textId="77777777" w:rsidR="00A06425" w:rsidRPr="00FA23B9" w:rsidRDefault="00A06425" w:rsidP="00A0642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A23B9">
              <w:rPr>
                <w:rFonts w:asciiTheme="minorHAnsi" w:hAnsiTheme="minorHAnsi" w:cstheme="minorHAnsi"/>
                <w:sz w:val="22"/>
                <w:szCs w:val="22"/>
              </w:rPr>
              <w:t>Odniesienie do uwagi</w:t>
            </w:r>
          </w:p>
        </w:tc>
      </w:tr>
      <w:tr w:rsidR="00A06425" w:rsidRPr="00FA23B9" w14:paraId="39CB5777" w14:textId="77777777" w:rsidTr="00FA23B9">
        <w:tc>
          <w:tcPr>
            <w:tcW w:w="562" w:type="dxa"/>
          </w:tcPr>
          <w:p w14:paraId="1ED3D372" w14:textId="77777777" w:rsidR="00A06425" w:rsidRPr="00FA23B9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A23B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3F638612" w14:textId="284C5961" w:rsidR="00A06425" w:rsidRPr="00FA23B9" w:rsidRDefault="000A68A0" w:rsidP="004D086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A23B9">
              <w:rPr>
                <w:rFonts w:asciiTheme="minorHAnsi" w:hAnsiTheme="minorHAnsi" w:cstheme="minorHAnsi"/>
                <w:sz w:val="22"/>
                <w:szCs w:val="22"/>
              </w:rPr>
              <w:t>MFiPR</w:t>
            </w:r>
          </w:p>
        </w:tc>
        <w:tc>
          <w:tcPr>
            <w:tcW w:w="1418" w:type="dxa"/>
          </w:tcPr>
          <w:p w14:paraId="375C1FAD" w14:textId="77777777" w:rsidR="00A06425" w:rsidRPr="00FA23B9" w:rsidRDefault="000A68A0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A23B9">
              <w:rPr>
                <w:rFonts w:asciiTheme="minorHAnsi" w:hAnsiTheme="minorHAnsi" w:cstheme="minorHAnsi"/>
                <w:sz w:val="22"/>
                <w:szCs w:val="22"/>
              </w:rPr>
              <w:t>2.1</w:t>
            </w:r>
          </w:p>
          <w:p w14:paraId="681B2938" w14:textId="293BCFF6" w:rsidR="000A68A0" w:rsidRPr="00FA23B9" w:rsidRDefault="000A68A0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A23B9">
              <w:rPr>
                <w:rFonts w:asciiTheme="minorHAnsi" w:hAnsiTheme="minorHAnsi" w:cstheme="minorHAnsi"/>
                <w:sz w:val="22"/>
                <w:szCs w:val="22"/>
              </w:rPr>
              <w:t>2.2</w:t>
            </w:r>
          </w:p>
        </w:tc>
        <w:tc>
          <w:tcPr>
            <w:tcW w:w="4252" w:type="dxa"/>
          </w:tcPr>
          <w:p w14:paraId="78B4900A" w14:textId="2C850707" w:rsidR="00A06425" w:rsidRPr="00FA23B9" w:rsidRDefault="000A68A0" w:rsidP="00067FCD">
            <w:pPr>
              <w:pStyle w:val="Akapitzlist"/>
              <w:numPr>
                <w:ilvl w:val="0"/>
                <w:numId w:val="1"/>
              </w:numPr>
              <w:spacing w:after="12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A23B9">
              <w:rPr>
                <w:rFonts w:asciiTheme="minorHAnsi" w:hAnsiTheme="minorHAnsi" w:cstheme="minorHAnsi"/>
                <w:sz w:val="22"/>
                <w:szCs w:val="22"/>
              </w:rPr>
              <w:t>Nazwa wskaźnika „Liczba usług publicznych udostępnionych on-line”,  jest niezgodna z nazwą wskaźnika określoną w działaniu 2.1 FERC - powinno być: „Liczba usług publicznych udostępnionych on-line o stopniu dojrzałości co najmniej 4 – transakcja”.</w:t>
            </w:r>
          </w:p>
          <w:p w14:paraId="358DE709" w14:textId="665E433F" w:rsidR="00067FCD" w:rsidRPr="00FA23B9" w:rsidRDefault="00067FCD" w:rsidP="00067FCD">
            <w:pPr>
              <w:pStyle w:val="Akapitzlist"/>
              <w:numPr>
                <w:ilvl w:val="0"/>
                <w:numId w:val="1"/>
              </w:numPr>
              <w:spacing w:after="12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A23B9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="000A68A0" w:rsidRPr="00FA23B9">
              <w:rPr>
                <w:rFonts w:asciiTheme="minorHAnsi" w:hAnsiTheme="minorHAnsi" w:cstheme="minorHAnsi"/>
                <w:sz w:val="22"/>
                <w:szCs w:val="22"/>
              </w:rPr>
              <w:t xml:space="preserve">artość docelowa ww. wskaźnika wynosi 4, podczas, gdy w tabeli nr 2.2 wykazano tylko 3 usługi </w:t>
            </w:r>
            <w:r w:rsidRPr="00FA23B9">
              <w:rPr>
                <w:rFonts w:asciiTheme="minorHAnsi" w:hAnsiTheme="minorHAnsi" w:cstheme="minorHAnsi"/>
                <w:sz w:val="22"/>
                <w:szCs w:val="22"/>
              </w:rPr>
              <w:t xml:space="preserve">A2B/A2C </w:t>
            </w:r>
            <w:r w:rsidR="000A68A0" w:rsidRPr="00FA23B9">
              <w:rPr>
                <w:rFonts w:asciiTheme="minorHAnsi" w:hAnsiTheme="minorHAnsi" w:cstheme="minorHAnsi"/>
                <w:sz w:val="22"/>
                <w:szCs w:val="22"/>
              </w:rPr>
              <w:t>(oraz jedną A2A, ale ona nie powinna być wliczana do ww. wskaźnika).</w:t>
            </w:r>
            <w:r w:rsidRPr="00FA23B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5A0EA3A" w14:textId="1FE524EE" w:rsidR="000A68A0" w:rsidRPr="00FA23B9" w:rsidRDefault="00067FCD" w:rsidP="00067FCD">
            <w:pPr>
              <w:pStyle w:val="Akapitzlist"/>
              <w:numPr>
                <w:ilvl w:val="0"/>
                <w:numId w:val="1"/>
              </w:numPr>
              <w:spacing w:after="12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A23B9">
              <w:rPr>
                <w:rFonts w:asciiTheme="minorHAnsi" w:hAnsiTheme="minorHAnsi" w:cstheme="minorHAnsi"/>
                <w:sz w:val="22"/>
                <w:szCs w:val="22"/>
              </w:rPr>
              <w:t xml:space="preserve">W tabeli 2.2 wskazano, w odniesieniu do dwóch usług, iż ich poziom dojrzałości  to dwustronna interakcja – tego typu usługi nie są wspierane w ramach FERC. </w:t>
            </w:r>
          </w:p>
          <w:p w14:paraId="2AE695D9" w14:textId="77777777" w:rsidR="000A68A0" w:rsidRPr="00FA23B9" w:rsidRDefault="000A68A0" w:rsidP="00067FCD">
            <w:pPr>
              <w:pStyle w:val="Akapitzlist"/>
              <w:numPr>
                <w:ilvl w:val="0"/>
                <w:numId w:val="1"/>
              </w:numPr>
              <w:spacing w:after="12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A23B9">
              <w:rPr>
                <w:rFonts w:asciiTheme="minorHAnsi" w:hAnsiTheme="minorHAnsi" w:cstheme="minorHAnsi"/>
                <w:sz w:val="22"/>
                <w:szCs w:val="22"/>
              </w:rPr>
              <w:t>Brak wskaźnika „Instytucje publiczne otrzymujące wsparcie na opracowywanie usług, produktów i procesów cyfrowych” – wskaźnik odnosi się do beneficjenta i powinien być wybrany w projekcie, gdyż będą tworzone e-usługi.</w:t>
            </w:r>
          </w:p>
          <w:p w14:paraId="76B23F29" w14:textId="2F99C248" w:rsidR="000A68A0" w:rsidRPr="00FA23B9" w:rsidRDefault="000A68A0" w:rsidP="00067FCD">
            <w:pPr>
              <w:pStyle w:val="Akapitzlist"/>
              <w:numPr>
                <w:ilvl w:val="0"/>
                <w:numId w:val="1"/>
              </w:numPr>
              <w:spacing w:after="12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A23B9">
              <w:rPr>
                <w:rFonts w:asciiTheme="minorHAnsi" w:hAnsiTheme="minorHAnsi" w:cstheme="minorHAnsi"/>
                <w:sz w:val="22"/>
                <w:szCs w:val="22"/>
              </w:rPr>
              <w:t xml:space="preserve">Wartość docelowa wskaźnika ”Użytkownicy nowych i zmodernizowanych publicznych usług, produktów i procesów cyfrowych” wynosi 1200, podczas gdy łączna liczba </w:t>
            </w:r>
            <w:r w:rsidRPr="00FA23B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użytkowników e-usług wykazana w tabeli 2.2 wynosi ponad 28 tys. </w:t>
            </w:r>
          </w:p>
          <w:p w14:paraId="75092A86" w14:textId="3A315DCF" w:rsidR="000A68A0" w:rsidRPr="00FA23B9" w:rsidRDefault="000A68A0" w:rsidP="00067FCD">
            <w:pPr>
              <w:pStyle w:val="Akapitzlist"/>
              <w:numPr>
                <w:ilvl w:val="0"/>
                <w:numId w:val="1"/>
              </w:numPr>
              <w:spacing w:after="12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A23B9">
              <w:rPr>
                <w:rFonts w:asciiTheme="minorHAnsi" w:hAnsiTheme="minorHAnsi" w:cstheme="minorHAnsi"/>
                <w:sz w:val="22"/>
                <w:szCs w:val="22"/>
              </w:rPr>
              <w:t>Jeżeli klientami e-usług będą również przedsiębiorcy, należy wybrać wskaźnik „Wartość́ usług, produktów i procesów cyfrowych opracowanych dla przedsiębiorstw” i określić jego wartość docelową.</w:t>
            </w:r>
          </w:p>
        </w:tc>
        <w:tc>
          <w:tcPr>
            <w:tcW w:w="3969" w:type="dxa"/>
          </w:tcPr>
          <w:p w14:paraId="1D637A1D" w14:textId="44E84FE6" w:rsidR="00A06425" w:rsidRPr="00FA23B9" w:rsidRDefault="00067FCD" w:rsidP="00067FCD">
            <w:pPr>
              <w:pStyle w:val="Akapitzlist"/>
              <w:numPr>
                <w:ilvl w:val="0"/>
                <w:numId w:val="2"/>
              </w:numPr>
              <w:spacing w:after="12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A23B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Należy skorygować nazwę wskaźnika.</w:t>
            </w:r>
          </w:p>
          <w:p w14:paraId="1F4DFFE6" w14:textId="101C645F" w:rsidR="00067FCD" w:rsidRPr="00FA23B9" w:rsidRDefault="00067FCD" w:rsidP="00067FCD">
            <w:pPr>
              <w:pStyle w:val="Akapitzlist"/>
              <w:numPr>
                <w:ilvl w:val="0"/>
                <w:numId w:val="2"/>
              </w:numPr>
              <w:spacing w:after="12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A23B9">
              <w:rPr>
                <w:rFonts w:asciiTheme="minorHAnsi" w:hAnsiTheme="minorHAnsi" w:cstheme="minorHAnsi"/>
                <w:sz w:val="22"/>
                <w:szCs w:val="22"/>
              </w:rPr>
              <w:t>Należy uspójnić liczbę e-usług wykazanych we wskaźniku „Liczba usług publicznych udostępnionych on-line o stopniu dojrzałości co najmniej 4 – transakcja” z liczbą usług podaną w tabeli 2.2.</w:t>
            </w:r>
          </w:p>
          <w:p w14:paraId="22CA2CBA" w14:textId="6F0CD215" w:rsidR="00067FCD" w:rsidRPr="00FA23B9" w:rsidRDefault="00067FCD" w:rsidP="00067FCD">
            <w:pPr>
              <w:pStyle w:val="Akapitzlist"/>
              <w:numPr>
                <w:ilvl w:val="0"/>
                <w:numId w:val="2"/>
              </w:numPr>
              <w:spacing w:after="12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A23B9">
              <w:rPr>
                <w:rFonts w:asciiTheme="minorHAnsi" w:hAnsiTheme="minorHAnsi" w:cstheme="minorHAnsi"/>
                <w:sz w:val="22"/>
                <w:szCs w:val="22"/>
              </w:rPr>
              <w:t>W przypadku zmiany liczby e-usług w tabeli 2.2, należy odpowiednio skorygować wartość docelową wskaźnika „Liczba usług publicznych udostępnionych on-line o stopniu dojrzałości co najmniej 4 – transakcja”.</w:t>
            </w:r>
          </w:p>
          <w:p w14:paraId="59E45CCC" w14:textId="389BD579" w:rsidR="00067FCD" w:rsidRPr="00FA23B9" w:rsidRDefault="00067FCD" w:rsidP="00067FCD">
            <w:pPr>
              <w:pStyle w:val="Akapitzlist"/>
              <w:numPr>
                <w:ilvl w:val="0"/>
                <w:numId w:val="2"/>
              </w:numPr>
              <w:spacing w:after="12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A23B9">
              <w:rPr>
                <w:rFonts w:asciiTheme="minorHAnsi" w:hAnsiTheme="minorHAnsi" w:cstheme="minorHAnsi"/>
                <w:sz w:val="22"/>
                <w:szCs w:val="22"/>
              </w:rPr>
              <w:t>Należy wprowadzić wskaźnik „Instytucje publiczne otrzymujące wsparcie na opracowywanie usług, produktów i procesów cyfrowych”.</w:t>
            </w:r>
          </w:p>
          <w:p w14:paraId="4D594831" w14:textId="3BC024E9" w:rsidR="00067FCD" w:rsidRPr="00FA23B9" w:rsidRDefault="00067FCD" w:rsidP="00067FCD">
            <w:pPr>
              <w:pStyle w:val="Akapitzlist"/>
              <w:numPr>
                <w:ilvl w:val="0"/>
                <w:numId w:val="2"/>
              </w:numPr>
              <w:spacing w:after="12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A23B9">
              <w:rPr>
                <w:rFonts w:asciiTheme="minorHAnsi" w:hAnsiTheme="minorHAnsi" w:cstheme="minorHAnsi"/>
                <w:sz w:val="22"/>
                <w:szCs w:val="22"/>
              </w:rPr>
              <w:t xml:space="preserve">Należy zweryfikować wartość docelową wskaźnika ”Użytkownicy nowych i zmodernizowanych publicznych usług, produktów i procesów cyfrowych” tak, aby była ona bardziej spójna z liczbą </w:t>
            </w:r>
            <w:r w:rsidRPr="00FA23B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użytkowników usług wykazanych w tabeli 2.2.</w:t>
            </w:r>
          </w:p>
          <w:p w14:paraId="5554D722" w14:textId="5891D18E" w:rsidR="00067FCD" w:rsidRPr="00FA23B9" w:rsidRDefault="00067FCD" w:rsidP="00067FCD">
            <w:pPr>
              <w:pStyle w:val="Akapitzlist"/>
              <w:numPr>
                <w:ilvl w:val="0"/>
                <w:numId w:val="2"/>
              </w:numPr>
              <w:spacing w:after="12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A23B9">
              <w:rPr>
                <w:rFonts w:asciiTheme="minorHAnsi" w:hAnsiTheme="minorHAnsi" w:cstheme="minorHAnsi"/>
                <w:sz w:val="22"/>
                <w:szCs w:val="22"/>
              </w:rPr>
              <w:t>Należy wprowadzić wskaźnik „Wartość́ usług, produktów i procesów cyfrowych opracowanych dla przedsiębiorstw” i określić jego wartość docelową, jeśli klientami usług będą również przedsiębiorcy.</w:t>
            </w:r>
          </w:p>
          <w:p w14:paraId="45FF3C56" w14:textId="77777777" w:rsidR="00067FCD" w:rsidRPr="00FA23B9" w:rsidRDefault="00067FCD" w:rsidP="00067FCD">
            <w:p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B14712" w14:textId="25F75ACF" w:rsidR="00067FCD" w:rsidRPr="00FA23B9" w:rsidRDefault="00067FCD" w:rsidP="00067FCD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14:paraId="5C77BACD" w14:textId="77777777" w:rsidR="008F0CA3" w:rsidRPr="008F0CA3" w:rsidRDefault="00FA23B9" w:rsidP="008F0CA3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A23B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>1.</w:t>
            </w:r>
            <w:r w:rsidRPr="00FA23B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br/>
            </w:r>
            <w:r w:rsidR="008F0CA3" w:rsidRPr="008F0CA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Dokonano weryfikacji wskaźnika „Liczba usług publicznych udostępnionych on-line o stopniu dojrzałości co najmniej 4 – transakcja”. Skorygowano jego wartość docelową do poziomu 3, uwzględniając wyłącznie usługi typu A2C/A2B, zgodnie z metodyką FERC.</w:t>
            </w:r>
          </w:p>
          <w:p w14:paraId="78FC48A7" w14:textId="310C55C6" w:rsidR="00FA23B9" w:rsidRDefault="008F0CA3" w:rsidP="00FA23B9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F0CA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W tabeli 2.2 wykazano również usługę o charakterze A2A, która nie jest uwzględniana w wartości wskaźnika.</w:t>
            </w:r>
          </w:p>
          <w:p w14:paraId="51A7E6CA" w14:textId="77777777" w:rsidR="008F0CA3" w:rsidRPr="00FA23B9" w:rsidRDefault="008F0CA3" w:rsidP="00FA23B9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151102F7" w14:textId="017C170C" w:rsidR="00FA23B9" w:rsidRDefault="00FA23B9" w:rsidP="00FA23B9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A23B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2.</w:t>
            </w:r>
            <w:r w:rsidRPr="00FA23B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br/>
              <w:t>Doprecyzowano zakres e-usług wskazanych w tabeli 2.2, zapewniając ich zgodność z definicją usług publicznych świadczonych dla użytkowników Wyeliminowano niejednoznaczności w kwalifikowaniu usług do odpowiednich kategorii.</w:t>
            </w:r>
          </w:p>
          <w:p w14:paraId="212356C2" w14:textId="77777777" w:rsidR="00FA23B9" w:rsidRPr="00FA23B9" w:rsidRDefault="00FA23B9" w:rsidP="00FA23B9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48AB7A7F" w14:textId="4D8032DE" w:rsidR="00FA23B9" w:rsidRDefault="00FA23B9" w:rsidP="00FA23B9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A23B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3.</w:t>
            </w:r>
            <w:r w:rsidRPr="00FA23B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br/>
              <w:t>Ujednolicono poziom dojrzałości e-usług poprzez wskazanie poziomu co najmniej 4 – transakcja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</w:t>
            </w:r>
            <w:r w:rsidRPr="00FA23B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</w:p>
          <w:p w14:paraId="26415BF0" w14:textId="77777777" w:rsidR="00FA23B9" w:rsidRPr="00FA23B9" w:rsidRDefault="00FA23B9" w:rsidP="00FA23B9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306BC027" w14:textId="77777777" w:rsidR="00FA23B9" w:rsidRDefault="00FA23B9" w:rsidP="00FA23B9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A23B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4.</w:t>
            </w:r>
          </w:p>
          <w:p w14:paraId="0EBDE38F" w14:textId="77777777" w:rsidR="00525236" w:rsidRDefault="00525236" w:rsidP="00FA23B9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52523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Wskaźnik „Instytucje publiczne otrzymujące wsparcie na opracowywanie usług, produktów i procesów cyfrowych” </w:t>
            </w:r>
            <w:r w:rsidRPr="0052523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>został ujęty w projekcie w ramach celu 1, jako wskaźnik produktu odnoszący się bezpośrednio do beneficjenta projektu. Jego wartość docelowa wynosi 1.</w:t>
            </w:r>
          </w:p>
          <w:p w14:paraId="5113E5C7" w14:textId="77777777" w:rsidR="009F67FD" w:rsidRPr="009F67FD" w:rsidRDefault="009F67FD" w:rsidP="009F67FD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9F67FD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5.</w:t>
            </w:r>
            <w:r w:rsidRPr="009F67F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br/>
              <w:t>Wartości wskazane w tabeli 2.2 odnoszą się do wolumenu operacji realizowanych w ramach e-usług, który odzwierciedla skalę wykorzystania systemu, w tym częstotliwość korzystania z poszczególnych funkcjonalności przez użytkowników.</w:t>
            </w:r>
          </w:p>
          <w:p w14:paraId="0362DDF6" w14:textId="77777777" w:rsidR="009F67FD" w:rsidRPr="009F67FD" w:rsidRDefault="009F67FD" w:rsidP="009F67FD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9F67F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Wskaźnik „Użytkownicy nowych i zmodernizowanych publicznych usług, produktów i procesów cyfrowych” odnosi się natomiast do liczby unikalnych użytkowników e-usług.</w:t>
            </w:r>
          </w:p>
          <w:p w14:paraId="02E9D19B" w14:textId="77777777" w:rsidR="009F67FD" w:rsidRPr="009F67FD" w:rsidRDefault="009F67FD" w:rsidP="009F67FD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9F67F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W związku z powyższym dokonano weryfikacji wartości docelowej wskaźnika i dostosowano ją do prognozowanej liczby użytkowników, wynikającej z liczby spraw obsługiwanych rocznie oraz przewidywanego poziomu wykorzystania e-usług.</w:t>
            </w:r>
          </w:p>
          <w:p w14:paraId="4DE0CBE7" w14:textId="77777777" w:rsidR="00A06425" w:rsidRDefault="00A06425" w:rsidP="00FA23B9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79AF84BF" w14:textId="61E60BC2" w:rsidR="00D72A30" w:rsidRPr="00D72A30" w:rsidRDefault="00D72A30" w:rsidP="00D72A30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D72A30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6.</w:t>
            </w:r>
            <w:r w:rsidRPr="00D72A3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br/>
              <w:t>Wprowadzono wskaźnik „Wartość usług, produktów i procesów cyfrowych opracowanych dla przedsiębiorstw”.</w:t>
            </w:r>
          </w:p>
          <w:p w14:paraId="5D849682" w14:textId="77777777" w:rsidR="00D72A30" w:rsidRPr="00D72A30" w:rsidRDefault="00D72A30" w:rsidP="00D72A30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D72A3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Wartość docelowa wskaźnika została określona na podstawie udziału funkcjonalności dedykowanych przedsiębiorcom w całkowitym zakresie projektu.</w:t>
            </w:r>
          </w:p>
          <w:p w14:paraId="5B00690F" w14:textId="77777777" w:rsidR="00D72A30" w:rsidRPr="00FA23B9" w:rsidRDefault="00D72A30" w:rsidP="00FA23B9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</w:tr>
      <w:tr w:rsidR="00A06425" w:rsidRPr="00FA23B9" w14:paraId="536815A3" w14:textId="77777777" w:rsidTr="00FA23B9">
        <w:tc>
          <w:tcPr>
            <w:tcW w:w="562" w:type="dxa"/>
          </w:tcPr>
          <w:p w14:paraId="48E7431A" w14:textId="77777777" w:rsidR="00A06425" w:rsidRPr="00FA23B9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A23B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</w:t>
            </w:r>
          </w:p>
        </w:tc>
        <w:tc>
          <w:tcPr>
            <w:tcW w:w="1134" w:type="dxa"/>
          </w:tcPr>
          <w:p w14:paraId="6B06123C" w14:textId="19E91CFD" w:rsidR="00A06425" w:rsidRPr="00FA23B9" w:rsidRDefault="005B14E9" w:rsidP="004D086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A23B9">
              <w:rPr>
                <w:rFonts w:asciiTheme="minorHAnsi" w:hAnsiTheme="minorHAnsi" w:cstheme="minorHAnsi"/>
                <w:sz w:val="22"/>
                <w:szCs w:val="22"/>
              </w:rPr>
              <w:t>MFiPR</w:t>
            </w:r>
          </w:p>
        </w:tc>
        <w:tc>
          <w:tcPr>
            <w:tcW w:w="1418" w:type="dxa"/>
          </w:tcPr>
          <w:p w14:paraId="62F6872C" w14:textId="1F09D3E1" w:rsidR="00A06425" w:rsidRPr="00FA23B9" w:rsidRDefault="005B14E9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A23B9">
              <w:rPr>
                <w:rFonts w:asciiTheme="minorHAnsi" w:hAnsiTheme="minorHAnsi" w:cstheme="minorHAnsi"/>
                <w:sz w:val="22"/>
                <w:szCs w:val="22"/>
              </w:rPr>
              <w:t xml:space="preserve">2.2. </w:t>
            </w:r>
          </w:p>
        </w:tc>
        <w:tc>
          <w:tcPr>
            <w:tcW w:w="4252" w:type="dxa"/>
          </w:tcPr>
          <w:p w14:paraId="43088F43" w14:textId="248FD34E" w:rsidR="00200D38" w:rsidRPr="00FA23B9" w:rsidRDefault="00200D38" w:rsidP="005B14E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A23B9">
              <w:rPr>
                <w:rFonts w:asciiTheme="minorHAnsi" w:hAnsiTheme="minorHAnsi" w:cstheme="minorHAnsi"/>
                <w:sz w:val="22"/>
                <w:szCs w:val="22"/>
              </w:rPr>
              <w:t xml:space="preserve">Zwracamy uwagę, że w FERC, tj. programie krajowym, w II priorytecie będą wspierane projekty o oddziaływaniu ogólnokrajowym, </w:t>
            </w:r>
            <w:r w:rsidRPr="00FA23B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których produkty będą mogły być wykorzystywane lokalnie. </w:t>
            </w:r>
          </w:p>
          <w:p w14:paraId="177FDC8A" w14:textId="46B5AF08" w:rsidR="00C27D5E" w:rsidRPr="00FA23B9" w:rsidRDefault="005B14E9" w:rsidP="005B14E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A23B9">
              <w:rPr>
                <w:rFonts w:asciiTheme="minorHAnsi" w:hAnsiTheme="minorHAnsi" w:cstheme="minorHAnsi"/>
                <w:sz w:val="22"/>
                <w:szCs w:val="22"/>
              </w:rPr>
              <w:t xml:space="preserve">W tym miejscu wpisano </w:t>
            </w:r>
            <w:r w:rsidR="00C27D5E" w:rsidRPr="00FA23B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FA23B9">
              <w:rPr>
                <w:rFonts w:asciiTheme="minorHAnsi" w:hAnsiTheme="minorHAnsi" w:cstheme="minorHAnsi"/>
                <w:sz w:val="22"/>
                <w:szCs w:val="22"/>
              </w:rPr>
              <w:t xml:space="preserve"> e-usługi na poziomie 3 dojrzałości – dwustronna interakcja. Należy zauważyć, ze w ramach FERC </w:t>
            </w:r>
            <w:r w:rsidR="00C27D5E" w:rsidRPr="00FA23B9">
              <w:rPr>
                <w:rFonts w:asciiTheme="minorHAnsi" w:hAnsiTheme="minorHAnsi" w:cstheme="minorHAnsi"/>
                <w:sz w:val="22"/>
                <w:szCs w:val="22"/>
              </w:rPr>
              <w:t>zapisano:</w:t>
            </w:r>
          </w:p>
          <w:p w14:paraId="0D618348" w14:textId="5DC63876" w:rsidR="00C27D5E" w:rsidRPr="00FA23B9" w:rsidRDefault="00C27D5E" w:rsidP="005B14E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A23B9">
              <w:rPr>
                <w:rFonts w:asciiTheme="minorHAnsi" w:hAnsiTheme="minorHAnsi" w:cstheme="minorHAnsi"/>
                <w:sz w:val="22"/>
                <w:szCs w:val="22"/>
              </w:rPr>
              <w:t>„Rozwiązania wdrażane w projektach będą realizowały założenia AIP (…) oraz będą zapewniały e-usługi o wysokim, co najmniej 4 (transakcja) poziomie dojrzałości.”</w:t>
            </w:r>
          </w:p>
          <w:p w14:paraId="2CD86D23" w14:textId="1D751962" w:rsidR="00C27D5E" w:rsidRPr="00FA23B9" w:rsidRDefault="00C27D5E" w:rsidP="005B14E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A23B9">
              <w:rPr>
                <w:rFonts w:asciiTheme="minorHAnsi" w:hAnsiTheme="minorHAnsi" w:cstheme="minorHAnsi"/>
                <w:sz w:val="22"/>
                <w:szCs w:val="22"/>
              </w:rPr>
              <w:t xml:space="preserve">Wydatki na usługi wdrażane na niższym poziomie będą uznane za niekwalifikowalne. </w:t>
            </w:r>
          </w:p>
          <w:p w14:paraId="26AC9B19" w14:textId="70F61D8C" w:rsidR="00C27D5E" w:rsidRPr="00FA23B9" w:rsidRDefault="00C27D5E" w:rsidP="005B14E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46C6C814" w14:textId="67E58040" w:rsidR="00A06425" w:rsidRPr="00FA23B9" w:rsidRDefault="00C27D5E" w:rsidP="00C27D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A23B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Należy albo podwyższyć poziom dojrzałości wdrażanych </w:t>
            </w:r>
            <w:r w:rsidR="00200D38" w:rsidRPr="00FA23B9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r w:rsidRPr="00FA23B9">
              <w:rPr>
                <w:rFonts w:asciiTheme="minorHAnsi" w:hAnsiTheme="minorHAnsi" w:cstheme="minorHAnsi"/>
                <w:sz w:val="22"/>
                <w:szCs w:val="22"/>
              </w:rPr>
              <w:t xml:space="preserve">e-usług, albo poprawić budżet odejmując wydatki planowane do poniesienia na usługi o </w:t>
            </w:r>
            <w:r w:rsidRPr="00FA23B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niższym jak 4 poziomie dojrzałości. Wydatki niekwalifikowalne </w:t>
            </w:r>
            <w:r w:rsidR="00834850" w:rsidRPr="00FA23B9">
              <w:rPr>
                <w:rFonts w:asciiTheme="minorHAnsi" w:hAnsiTheme="minorHAnsi" w:cstheme="minorHAnsi"/>
                <w:sz w:val="22"/>
                <w:szCs w:val="22"/>
              </w:rPr>
              <w:t xml:space="preserve">są ponoszone przez beneficjenta. </w:t>
            </w:r>
          </w:p>
        </w:tc>
        <w:tc>
          <w:tcPr>
            <w:tcW w:w="4053" w:type="dxa"/>
          </w:tcPr>
          <w:p w14:paraId="2370B359" w14:textId="2B4596CA" w:rsidR="00391171" w:rsidRPr="00391171" w:rsidRDefault="00391171" w:rsidP="00391171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39117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 xml:space="preserve">Dokonano weryfikacji poziomu dojrzałości wszystkich e-usług wskazanych w tabeli 2.2. Obecnie wszystkie usługi spełniają </w:t>
            </w:r>
            <w:r w:rsidRPr="0039117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>wymagany poziom co najmniej 4 – transakcja.</w:t>
            </w:r>
          </w:p>
          <w:p w14:paraId="359D2C75" w14:textId="77777777" w:rsidR="00391171" w:rsidRPr="00391171" w:rsidRDefault="00391171" w:rsidP="00391171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39117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Zakres funkcjonalny usług obejmuje możliwość pełnej realizacji procesu drogą elektroniczną, w tym złożenia wniosku, jego przetwarzania oraz uzyskania wyniku sprawy bez konieczności kontaktu tradycyjnego.</w:t>
            </w:r>
          </w:p>
          <w:p w14:paraId="52F6715E" w14:textId="77777777" w:rsidR="00A06425" w:rsidRPr="00FA23B9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15B2AEB" w14:textId="77777777" w:rsidR="00C64B1B" w:rsidRPr="00FA23B9" w:rsidRDefault="00C64B1B" w:rsidP="00C64B1B">
      <w:pPr>
        <w:jc w:val="center"/>
      </w:pPr>
    </w:p>
    <w:sectPr w:rsidR="00C64B1B" w:rsidRPr="00FA23B9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EA2"/>
    <w:multiLevelType w:val="hybridMultilevel"/>
    <w:tmpl w:val="CE40FC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D202986"/>
    <w:multiLevelType w:val="hybridMultilevel"/>
    <w:tmpl w:val="4A6CA0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0763604">
    <w:abstractNumId w:val="0"/>
  </w:num>
  <w:num w:numId="2" w16cid:durableId="17349596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B1B"/>
    <w:rsid w:val="00034258"/>
    <w:rsid w:val="00067FCD"/>
    <w:rsid w:val="000A68A0"/>
    <w:rsid w:val="00140BE8"/>
    <w:rsid w:val="00156B05"/>
    <w:rsid w:val="0019648E"/>
    <w:rsid w:val="00200D38"/>
    <w:rsid w:val="002715B2"/>
    <w:rsid w:val="003124D1"/>
    <w:rsid w:val="00377EE1"/>
    <w:rsid w:val="00391171"/>
    <w:rsid w:val="003B4105"/>
    <w:rsid w:val="003C7EF6"/>
    <w:rsid w:val="00426285"/>
    <w:rsid w:val="004B6813"/>
    <w:rsid w:val="004B7368"/>
    <w:rsid w:val="004D086F"/>
    <w:rsid w:val="004F232F"/>
    <w:rsid w:val="00525236"/>
    <w:rsid w:val="005B14E9"/>
    <w:rsid w:val="005F6527"/>
    <w:rsid w:val="00612131"/>
    <w:rsid w:val="006705EC"/>
    <w:rsid w:val="006E16E9"/>
    <w:rsid w:val="00716EA9"/>
    <w:rsid w:val="00807385"/>
    <w:rsid w:val="00834850"/>
    <w:rsid w:val="00836322"/>
    <w:rsid w:val="008368BB"/>
    <w:rsid w:val="00853A10"/>
    <w:rsid w:val="00896282"/>
    <w:rsid w:val="008C7900"/>
    <w:rsid w:val="008F0CA3"/>
    <w:rsid w:val="00934419"/>
    <w:rsid w:val="00944932"/>
    <w:rsid w:val="009E5FDB"/>
    <w:rsid w:val="009F17E3"/>
    <w:rsid w:val="009F67FD"/>
    <w:rsid w:val="00A06425"/>
    <w:rsid w:val="00AC7796"/>
    <w:rsid w:val="00B871B6"/>
    <w:rsid w:val="00C27D5E"/>
    <w:rsid w:val="00C64B1B"/>
    <w:rsid w:val="00C67D91"/>
    <w:rsid w:val="00CC4846"/>
    <w:rsid w:val="00CD5EB0"/>
    <w:rsid w:val="00D72A30"/>
    <w:rsid w:val="00D8685B"/>
    <w:rsid w:val="00E14C33"/>
    <w:rsid w:val="00F02C96"/>
    <w:rsid w:val="00F0567F"/>
    <w:rsid w:val="00FA23B9"/>
    <w:rsid w:val="00FA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31B81F"/>
  <w15:docId w15:val="{3FA25410-08C6-4314-AAEF-EB4187B11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A68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43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714</Words>
  <Characters>4765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5469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BAF</dc:creator>
  <cp:lastModifiedBy>Marta Ścisło</cp:lastModifiedBy>
  <cp:revision>2</cp:revision>
  <dcterms:created xsi:type="dcterms:W3CDTF">2026-05-06T10:47:00Z</dcterms:created>
  <dcterms:modified xsi:type="dcterms:W3CDTF">2026-05-06T10:47:00Z</dcterms:modified>
</cp:coreProperties>
</file>